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附件一：</w:t>
      </w:r>
    </w:p>
    <w:p>
      <w:pPr>
        <w:ind w:firstLine="2160" w:firstLineChars="600"/>
        <w:jc w:val="left"/>
        <w:rPr>
          <w:rFonts w:hint="eastAsia"/>
        </w:rPr>
      </w:pPr>
      <w:r>
        <w:rPr>
          <w:rFonts w:hint="eastAsia" w:ascii="方正小标宋简体" w:eastAsia="方正小标宋简体"/>
          <w:sz w:val="36"/>
          <w:szCs w:val="36"/>
        </w:rPr>
        <w:t>二号楼中央空调维护保养方案</w:t>
      </w:r>
    </w:p>
    <w:p>
      <w:pPr>
        <w:spacing w:line="400" w:lineRule="exact"/>
        <w:ind w:firstLine="494" w:firstLineChars="206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一、基本情况</w:t>
      </w:r>
    </w:p>
    <w:p>
      <w:pPr>
        <w:spacing w:line="400" w:lineRule="exact"/>
        <w:ind w:firstLine="494" w:firstLineChars="20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鄂东医疗集团</w:t>
      </w:r>
      <w:r>
        <w:rPr>
          <w:rFonts w:hint="eastAsia" w:ascii="仿宋_GB2312" w:eastAsia="仿宋_GB2312"/>
          <w:sz w:val="24"/>
          <w:lang w:eastAsia="zh-CN"/>
        </w:rPr>
        <w:t>市</w:t>
      </w:r>
      <w:r>
        <w:rPr>
          <w:rFonts w:hint="eastAsia" w:ascii="仿宋_GB2312" w:eastAsia="仿宋_GB2312"/>
          <w:sz w:val="24"/>
        </w:rPr>
        <w:t>妇幼保健院二号楼新风冷水机组和风机盘管统计如下：新风冷水机组共13台（品牌：南京天加；规格：见图纸 ）；风机盘管213台（品牌： 南京天加 ；规格：见图纸）；多联外机1台；多联内机6台；风管机1台；各类风机23台。</w:t>
      </w:r>
    </w:p>
    <w:p>
      <w:pPr>
        <w:spacing w:line="400" w:lineRule="exact"/>
        <w:ind w:firstLine="494" w:firstLineChars="206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二、风机盘管和新风冷水机组维护保养必要性</w:t>
      </w:r>
    </w:p>
    <w:p>
      <w:pPr>
        <w:spacing w:line="400" w:lineRule="exact"/>
        <w:ind w:firstLine="494" w:firstLineChars="20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1、新风冷水系统：运行一段时间后过滤网上就会聚积灰尘，增加空气阻力，因而引起风量减小或堵死；风量减小会引起风机盘管效果不好，堵死后无任何效果，影响正常使用。尤其是风管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机、变风量、组合式空调器还很容易引起电机烧毁的严重后果；</w:t>
      </w:r>
    </w:p>
    <w:p>
      <w:pPr>
        <w:spacing w:line="400" w:lineRule="exact"/>
        <w:ind w:firstLine="494" w:firstLineChars="206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> </w:t>
      </w:r>
      <w:r>
        <w:rPr>
          <w:rFonts w:hint="eastAsia" w:ascii="仿宋_GB2312" w:eastAsia="仿宋_GB2312"/>
          <w:sz w:val="24"/>
        </w:rPr>
        <w:t>2、风机盘管：因初效过滤网对细小粉尘无法过滤下来，因此，粉尘穿过滤网后聚积在风机盘管的换热器的翅片表面，由于换热设备的翅片只有</w:t>
      </w:r>
      <w:r>
        <w:rPr>
          <w:rFonts w:ascii="仿宋_GB2312" w:eastAsia="仿宋_GB2312"/>
          <w:sz w:val="24"/>
        </w:rPr>
        <w:t>2-3mm</w:t>
      </w:r>
      <w:r>
        <w:rPr>
          <w:rFonts w:hint="eastAsia" w:ascii="仿宋_GB2312" w:eastAsia="仿宋_GB2312"/>
          <w:sz w:val="24"/>
        </w:rPr>
        <w:t>，因此长期聚积后就会引起堵塞，造成效果下降，同时因灰尘的聚积引起传热下降，严重时会引起上述现象。</w:t>
      </w:r>
    </w:p>
    <w:p>
      <w:pPr>
        <w:spacing w:line="400" w:lineRule="exact"/>
        <w:ind w:firstLine="494" w:firstLineChars="20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新风冷水机组和风机盘管安装在医疗单位，对空气和病人的身体要求也比较高，为了做到节能、增效、延寿和环保，需定期对新风冷水机组和风机盘管的过滤装置需定期清洗保养。通常制冷行业规定，清洗清毒时间每</w:t>
      </w:r>
      <w:r>
        <w:rPr>
          <w:rFonts w:hint="eastAsia" w:ascii="仿宋_GB2312" w:eastAsia="仿宋_GB2312"/>
          <w:sz w:val="24"/>
          <w:lang w:eastAsia="zh-CN"/>
        </w:rPr>
        <w:t>年</w:t>
      </w:r>
      <w:r>
        <w:rPr>
          <w:rFonts w:hint="eastAsia" w:ascii="仿宋_GB2312" w:eastAsia="仿宋_GB2312"/>
          <w:sz w:val="24"/>
        </w:rPr>
        <w:t>2次，分别在季节更换制冷和制暖前进行。</w:t>
      </w:r>
    </w:p>
    <w:p>
      <w:pPr>
        <w:spacing w:line="480" w:lineRule="exact"/>
        <w:ind w:firstLine="494" w:firstLineChars="206"/>
        <w:rPr>
          <w:rFonts w:hint="eastAsia"/>
          <w:sz w:val="24"/>
        </w:rPr>
      </w:pPr>
      <w:r>
        <w:rPr>
          <w:rFonts w:hint="eastAsia" w:ascii="黑体" w:eastAsia="黑体"/>
          <w:sz w:val="24"/>
        </w:rPr>
        <w:t>三、风机盘管和新风冷水机组维护保养清单</w:t>
      </w:r>
    </w:p>
    <w:tbl>
      <w:tblPr>
        <w:tblStyle w:val="3"/>
        <w:tblW w:w="9160" w:type="dxa"/>
        <w:jc w:val="center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646"/>
        <w:gridCol w:w="1854"/>
        <w:gridCol w:w="1327"/>
        <w:gridCol w:w="1392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设备名称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数量/年次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单价/次/台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合计（元）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新风冷水机组过滤网清洗消毒费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13台</w:t>
            </w:r>
            <w:r>
              <w:rPr>
                <w:rFonts w:hint="eastAsia" w:ascii="仿宋_GB2312" w:hAnsi="宋体" w:eastAsia="仿宋_GB2312"/>
                <w:sz w:val="24"/>
              </w:rPr>
              <w:t>×</w:t>
            </w:r>
            <w:r>
              <w:rPr>
                <w:rFonts w:hint="eastAsia" w:ascii="仿宋_GB2312" w:eastAsia="仿宋_GB2312"/>
                <w:sz w:val="24"/>
              </w:rPr>
              <w:t>2次/年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南京天加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风机过滤网清洗消毒费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213台</w:t>
            </w:r>
            <w:r>
              <w:rPr>
                <w:rFonts w:hint="eastAsia" w:ascii="仿宋_GB2312" w:hAnsi="宋体" w:eastAsia="仿宋_GB2312"/>
                <w:sz w:val="24"/>
              </w:rPr>
              <w:t>×</w:t>
            </w:r>
            <w:r>
              <w:rPr>
                <w:rFonts w:hint="eastAsia" w:ascii="仿宋_GB2312" w:eastAsia="仿宋_GB2312"/>
                <w:sz w:val="24"/>
              </w:rPr>
              <w:t>2次/年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南京天加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多联外机清洗维护保养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1台</w:t>
            </w:r>
            <w:r>
              <w:rPr>
                <w:rFonts w:hint="eastAsia" w:ascii="仿宋_GB2312" w:hAnsi="宋体" w:eastAsia="仿宋_GB2312"/>
                <w:sz w:val="24"/>
              </w:rPr>
              <w:t>×</w:t>
            </w:r>
            <w:r>
              <w:rPr>
                <w:rFonts w:hint="eastAsia" w:ascii="仿宋_GB2312" w:eastAsia="仿宋_GB2312"/>
                <w:sz w:val="24"/>
              </w:rPr>
              <w:t>1次/年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南京天加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多联内机保养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6台</w:t>
            </w:r>
            <w:r>
              <w:rPr>
                <w:rFonts w:hint="eastAsia" w:ascii="仿宋_GB2312" w:hAnsi="宋体" w:eastAsia="仿宋_GB2312"/>
                <w:sz w:val="24"/>
              </w:rPr>
              <w:t>×</w:t>
            </w:r>
            <w:r>
              <w:rPr>
                <w:rFonts w:hint="eastAsia" w:ascii="仿宋_GB2312" w:eastAsia="仿宋_GB2312"/>
                <w:sz w:val="24"/>
              </w:rPr>
              <w:t>2次/年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南京天加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一托一风管机保养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1套</w:t>
            </w:r>
            <w:r>
              <w:rPr>
                <w:rFonts w:hint="eastAsia" w:ascii="仿宋_GB2312" w:hAnsi="宋体" w:eastAsia="仿宋_GB2312"/>
                <w:sz w:val="24"/>
              </w:rPr>
              <w:t>×</w:t>
            </w:r>
            <w:r>
              <w:rPr>
                <w:rFonts w:hint="eastAsia" w:ascii="仿宋_GB2312" w:eastAsia="仿宋_GB2312"/>
                <w:sz w:val="24"/>
              </w:rPr>
              <w:t>2次/年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各类风机维护保养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23台</w:t>
            </w:r>
            <w:r>
              <w:rPr>
                <w:rFonts w:hint="eastAsia" w:ascii="仿宋_GB2312" w:hAnsi="宋体" w:eastAsia="仿宋_GB2312"/>
                <w:sz w:val="24"/>
              </w:rPr>
              <w:t>×</w:t>
            </w:r>
            <w:r>
              <w:rPr>
                <w:rFonts w:hint="eastAsia" w:ascii="仿宋_GB2312" w:eastAsia="仿宋_GB2312"/>
                <w:sz w:val="24"/>
              </w:rPr>
              <w:t>1次/年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武汉锦程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新风冷水机组维修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13台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61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风机盘管维修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213台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6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其他空调设备维修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31台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6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维保其他事项</w:t>
            </w:r>
          </w:p>
        </w:tc>
        <w:tc>
          <w:tcPr>
            <w:tcW w:w="45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元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（含）以下配件免费更换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8480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质保期内免费维修设备项目：</w:t>
            </w:r>
            <w:r>
              <w:rPr>
                <w:rFonts w:hint="eastAsia"/>
                <w:color w:val="auto"/>
                <w:szCs w:val="21"/>
              </w:rPr>
              <w:t>1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、新风冷水机组：（1）包含更换损坏的流量阀、闸阀、皮带和电机；（2）包含维修控制柜及免费更换空开、开关、指示灯。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firstLine="315" w:firstLineChars="150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风机盘管：</w:t>
            </w:r>
            <w:r>
              <w:rPr>
                <w:rFonts w:hint="eastAsia"/>
                <w:color w:val="auto"/>
                <w:szCs w:val="21"/>
              </w:rPr>
              <w:t>（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1</w:t>
            </w:r>
            <w:r>
              <w:rPr>
                <w:rFonts w:hint="eastAsia"/>
                <w:color w:val="auto"/>
                <w:szCs w:val="21"/>
              </w:rPr>
              <w:t>）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包含更换损坏的液晶开关；（2）包含更换损坏的电动流量阀；（3）包含更换风盘电机；（4）包含更换阀门、软接；（5）漏水和保温完善。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firstLine="315" w:firstLineChars="150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空气能热水器。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DAE2A"/>
    <w:multiLevelType w:val="singleLevel"/>
    <w:tmpl w:val="E3BDAE2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1808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lay</cp:lastModifiedBy>
  <dcterms:modified xsi:type="dcterms:W3CDTF">2019-05-28T09:36:24Z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